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Pr="00D1472A" w:rsidRDefault="00E122E4" w:rsidP="00E122E4">
      <w:pPr>
        <w:widowControl/>
        <w:ind w:firstLine="0"/>
        <w:jc w:val="center"/>
        <w:rPr>
          <w:rFonts w:eastAsia="Calibri"/>
          <w:b/>
        </w:rPr>
      </w:pPr>
      <w:r w:rsidRPr="00D1472A">
        <w:rPr>
          <w:rFonts w:eastAsia="Calibri"/>
          <w:b/>
        </w:rPr>
        <w:t>на выполнение работ</w:t>
      </w:r>
      <w:r w:rsidR="0087298C" w:rsidRPr="00D1472A">
        <w:rPr>
          <w:rFonts w:eastAsia="Calibri"/>
          <w:b/>
        </w:rPr>
        <w:t xml:space="preserve"> </w:t>
      </w:r>
      <w:r w:rsidR="00EA7205" w:rsidRPr="00D1472A">
        <w:rPr>
          <w:rFonts w:eastAsia="Calibri"/>
          <w:b/>
        </w:rPr>
        <w:t>на</w:t>
      </w:r>
      <w:r w:rsidR="0087298C" w:rsidRPr="00D1472A">
        <w:rPr>
          <w:rFonts w:eastAsia="Calibri"/>
          <w:b/>
        </w:rPr>
        <w:t xml:space="preserve"> объектах ТЭЦ АО «РУСАЛ Ачинск»</w:t>
      </w:r>
    </w:p>
    <w:p w:rsidR="00EA7205" w:rsidRPr="00D1472A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EA7205" w:rsidRPr="00D1472A" w:rsidRDefault="008C29EE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8C29EE">
        <w:t xml:space="preserve">Сметная документация на 2021 год разрабатывается ООО «Иркутскэнергоремонт» в соответствии с СТП 011.504.115-2015, утвержденным ПАО «Иркутскэнерго» </w:t>
      </w:r>
      <w:r w:rsidR="00EA7205" w:rsidRPr="00D1472A">
        <w:t>(Приложение № 1).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</w:t>
      </w:r>
      <w:r w:rsidR="008C29EE" w:rsidRPr="00D1472A">
        <w:t>Приложение № 3</w:t>
      </w:r>
      <w:r w:rsidR="008C29EE">
        <w:t xml:space="preserve"> к Приложению №6</w:t>
      </w:r>
      <w:r w:rsidR="008C29EE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Приложение № 3</w:t>
      </w:r>
      <w:r w:rsidR="008C29EE">
        <w:t xml:space="preserve"> к Приложению №6</w:t>
      </w:r>
      <w:r w:rsidR="009E18B6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по показателям для г. Иркутск согласно </w:t>
      </w:r>
      <w:r w:rsidR="008C29EE" w:rsidRPr="00D1472A">
        <w:t>Приложение № 3</w:t>
      </w:r>
      <w:r w:rsidR="008C29EE">
        <w:t xml:space="preserve"> к Приложению №6</w:t>
      </w:r>
      <w:r w:rsidR="008C29EE" w:rsidRPr="00D1472A">
        <w:t>.</w:t>
      </w:r>
    </w:p>
    <w:p w:rsidR="00134959" w:rsidRPr="00D1472A" w:rsidRDefault="00EA7205" w:rsidP="001945E1">
      <w:pPr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</w:pPr>
      <w:r w:rsidRPr="00D1472A">
        <w:t xml:space="preserve">При составлении сметной документации на </w:t>
      </w:r>
      <w:r w:rsidRPr="00D1472A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="00134959" w:rsidRPr="00D1472A">
        <w:t xml:space="preserve"> </w:t>
      </w:r>
    </w:p>
    <w:p w:rsidR="00EA7205" w:rsidRPr="00D1472A" w:rsidRDefault="00EA7205" w:rsidP="00134959">
      <w:pPr>
        <w:widowControl/>
        <w:tabs>
          <w:tab w:val="left" w:pos="0"/>
          <w:tab w:val="left" w:pos="851"/>
        </w:tabs>
        <w:spacing w:after="240"/>
        <w:ind w:firstLine="851"/>
      </w:pPr>
      <w:r w:rsidRPr="00D1472A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D1472A">
        <w:t>индивидуальным</w:t>
      </w:r>
      <w:r w:rsidRPr="00D1472A">
        <w:rPr>
          <w:kern w:val="32"/>
        </w:rPr>
        <w:t xml:space="preserve"> сметным нормативам, либо на основе технически обоснованных норм</w:t>
      </w:r>
      <w:r w:rsidRPr="00D1472A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 w:rsidRPr="00D1472A">
        <w:rPr>
          <w:b/>
        </w:rPr>
        <w:t xml:space="preserve"> </w:t>
      </w:r>
      <w:r w:rsidR="008C29EE" w:rsidRPr="008C29EE">
        <w:t>согласно</w:t>
      </w:r>
      <w:r w:rsidR="008C29EE">
        <w:rPr>
          <w:b/>
        </w:rPr>
        <w:t xml:space="preserve"> </w:t>
      </w:r>
      <w:r w:rsidR="008C29EE" w:rsidRPr="00D1472A">
        <w:t>Приложение № 3</w:t>
      </w:r>
      <w:r w:rsidR="008C29EE">
        <w:t xml:space="preserve"> к Приложению №6</w:t>
      </w:r>
      <w:r w:rsidR="008C29EE" w:rsidRPr="00D1472A">
        <w:t>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Для расчёта з/</w:t>
      </w:r>
      <w:proofErr w:type="gramStart"/>
      <w:r w:rsidRPr="00D1472A">
        <w:t>п</w:t>
      </w:r>
      <w:proofErr w:type="gramEnd"/>
      <w:r w:rsidRPr="00D1472A">
        <w:t xml:space="preserve"> в терр</w:t>
      </w:r>
      <w:r w:rsidR="00134959" w:rsidRPr="00D1472A">
        <w:t xml:space="preserve">иториальных единичных расценках </w:t>
      </w:r>
      <w:r w:rsidRPr="00D1472A">
        <w:rPr>
          <w:rFonts w:eastAsia="Calibri"/>
        </w:rPr>
        <w:t xml:space="preserve">расчетный уровень з/п не должен превышать размер среднемесячной оплаты труда рабочего 4 разряда по данным Регионального центра по ценообразованию, принятый с </w:t>
      </w:r>
      <w:proofErr w:type="spellStart"/>
      <w:r w:rsidRPr="00D1472A">
        <w:rPr>
          <w:rFonts w:eastAsia="Calibri"/>
        </w:rPr>
        <w:t>коэф</w:t>
      </w:r>
      <w:proofErr w:type="spellEnd"/>
      <w:r w:rsidRPr="00D1472A">
        <w:rPr>
          <w:rFonts w:eastAsia="Calibri"/>
        </w:rPr>
        <w:t>-ом К=0,8, за исключением электромонтажных и пусконаладочных работ, по данным работам уровень з/п рассчитывается без применения понижающего коэффициента.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lastRenderedPageBreak/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  <w:jc w:val="left"/>
      </w:pPr>
      <w:r w:rsidRPr="00D1472A">
        <w:t>Приложения:</w:t>
      </w:r>
    </w:p>
    <w:p w:rsidR="00EA7205" w:rsidRPr="00D1472A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>1. СТП 011.504.115-2015;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 xml:space="preserve">3. </w:t>
      </w:r>
      <w:r w:rsidR="008C29EE">
        <w:rPr>
          <w:rFonts w:eastAsia="Calibri"/>
        </w:rPr>
        <w:t>Поправочные коэффициенты</w:t>
      </w:r>
      <w:r w:rsidRPr="00D1472A">
        <w:rPr>
          <w:rFonts w:eastAsia="Calibri"/>
        </w:rPr>
        <w:t>.</w:t>
      </w:r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90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061"/>
      </w:tblGrid>
      <w:tr w:rsidR="00A12B6E" w:rsidRPr="00134959" w:rsidTr="001A3277">
        <w:trPr>
          <w:trHeight w:val="1564"/>
        </w:trPr>
        <w:tc>
          <w:tcPr>
            <w:tcW w:w="4962" w:type="dxa"/>
          </w:tcPr>
          <w:p w:rsidR="00E122E4" w:rsidRPr="00134959" w:rsidRDefault="00E122E4" w:rsidP="00E122E4">
            <w:pPr>
              <w:ind w:firstLine="0"/>
              <w:rPr>
                <w:b/>
              </w:rPr>
            </w:pPr>
            <w:r w:rsidRPr="00134959">
              <w:rPr>
                <w:b/>
              </w:rPr>
              <w:t>От Генерального подрядчика:</w:t>
            </w:r>
          </w:p>
          <w:p w:rsidR="00E122E4" w:rsidRPr="00134959" w:rsidRDefault="00E122E4" w:rsidP="00E122E4">
            <w:pPr>
              <w:ind w:firstLine="601"/>
              <w:rPr>
                <w:b/>
              </w:rPr>
            </w:pPr>
          </w:p>
          <w:p w:rsidR="00E122E4" w:rsidRPr="00134959" w:rsidRDefault="0091353C" w:rsidP="00E122E4">
            <w:pPr>
              <w:ind w:firstLine="0"/>
            </w:pPr>
            <w:r>
              <w:t>Генеральный д</w:t>
            </w:r>
            <w:r w:rsidR="00E122E4" w:rsidRPr="00134959">
              <w:t>иректор</w:t>
            </w:r>
          </w:p>
          <w:p w:rsidR="00E122E4" w:rsidRPr="00134959" w:rsidRDefault="00CF78F8" w:rsidP="00E122E4">
            <w:pPr>
              <w:ind w:firstLine="0"/>
            </w:pPr>
            <w:r>
              <w:t>ОО</w:t>
            </w:r>
            <w:r w:rsidR="00E122E4" w:rsidRPr="00134959">
              <w:t>О «</w:t>
            </w:r>
            <w:r w:rsidR="0091353C">
              <w:t>Иркутскэнергоремонт</w:t>
            </w:r>
            <w:r w:rsidR="00E122E4" w:rsidRPr="00134959">
              <w:t>»</w:t>
            </w:r>
          </w:p>
          <w:p w:rsidR="00E122E4" w:rsidRPr="00134959" w:rsidRDefault="00E122E4" w:rsidP="00E122E4">
            <w:pPr>
              <w:ind w:firstLine="601"/>
            </w:pPr>
          </w:p>
          <w:p w:rsidR="00E122E4" w:rsidRPr="00134959" w:rsidRDefault="00E122E4" w:rsidP="00E122E4">
            <w:pPr>
              <w:ind w:firstLine="0"/>
            </w:pPr>
            <w:r w:rsidRPr="00134959">
              <w:t xml:space="preserve">___________________ </w:t>
            </w:r>
            <w:r w:rsidR="006B5F90">
              <w:t>М.В. Кудрявцев</w:t>
            </w:r>
          </w:p>
          <w:p w:rsidR="00A12B6E" w:rsidRPr="00134959" w:rsidRDefault="00E122E4" w:rsidP="008C29EE">
            <w:pPr>
              <w:ind w:firstLine="0"/>
            </w:pPr>
            <w:r w:rsidRPr="00134959">
              <w:t>« ____ » ____________ 20</w:t>
            </w:r>
            <w:r w:rsidR="00783920">
              <w:t>2</w:t>
            </w:r>
            <w:r w:rsidR="008C29EE">
              <w:t>1</w:t>
            </w:r>
            <w:bookmarkStart w:id="0" w:name="_GoBack"/>
            <w:bookmarkEnd w:id="0"/>
            <w:r w:rsidRPr="00134959">
              <w:t>г.</w:t>
            </w:r>
          </w:p>
        </w:tc>
        <w:tc>
          <w:tcPr>
            <w:tcW w:w="4061" w:type="dxa"/>
          </w:tcPr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  <w:r w:rsidRPr="00134959">
              <w:rPr>
                <w:b/>
                <w:bCs/>
              </w:rPr>
              <w:t>От Субподрядчика:</w:t>
            </w:r>
          </w:p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</w:p>
          <w:p w:rsidR="00A12B6E" w:rsidRPr="00134959" w:rsidRDefault="00A12B6E" w:rsidP="006B5F90">
            <w:pPr>
              <w:ind w:firstLine="0"/>
              <w:rPr>
                <w:b/>
                <w:bCs/>
              </w:rPr>
            </w:pPr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AB" w:rsidRDefault="004B2CAB" w:rsidP="00487C6D">
      <w:r>
        <w:separator/>
      </w:r>
    </w:p>
  </w:endnote>
  <w:endnote w:type="continuationSeparator" w:id="0">
    <w:p w:rsidR="004B2CAB" w:rsidRDefault="004B2CAB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8C29EE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8C29EE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AB" w:rsidRDefault="004B2CAB" w:rsidP="00487C6D">
      <w:r>
        <w:separator/>
      </w:r>
    </w:p>
  </w:footnote>
  <w:footnote w:type="continuationSeparator" w:id="0">
    <w:p w:rsidR="004B2CAB" w:rsidRDefault="004B2CAB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E122E4" w:rsidRPr="00211D13" w:rsidRDefault="00E122E4" w:rsidP="00E122E4">
    <w:pPr>
      <w:ind w:left="-426" w:firstLine="426"/>
      <w:jc w:val="right"/>
      <w:rPr>
        <w:i/>
        <w:sz w:val="18"/>
        <w:szCs w:val="18"/>
      </w:rPr>
    </w:pPr>
    <w:r w:rsidRPr="00211D13">
      <w:rPr>
        <w:i/>
        <w:sz w:val="18"/>
        <w:szCs w:val="18"/>
      </w:rPr>
      <w:t xml:space="preserve">Приложение № </w:t>
    </w:r>
    <w:r w:rsidR="00DC19F1" w:rsidRPr="00211D13">
      <w:rPr>
        <w:i/>
        <w:sz w:val="18"/>
        <w:szCs w:val="18"/>
      </w:rPr>
      <w:t>6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</w:tbl>
  <w:p w:rsidR="00985F93" w:rsidRDefault="00985F93" w:rsidP="00CF78F8">
    <w:pPr>
      <w:ind w:firstLin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7388D"/>
    <w:rsid w:val="00077771"/>
    <w:rsid w:val="00086911"/>
    <w:rsid w:val="000A17E8"/>
    <w:rsid w:val="000B03C2"/>
    <w:rsid w:val="000D2B13"/>
    <w:rsid w:val="000D4F4B"/>
    <w:rsid w:val="00117CDC"/>
    <w:rsid w:val="001233B1"/>
    <w:rsid w:val="00134959"/>
    <w:rsid w:val="00136DF6"/>
    <w:rsid w:val="001568D9"/>
    <w:rsid w:val="0017367D"/>
    <w:rsid w:val="001945E1"/>
    <w:rsid w:val="001A0647"/>
    <w:rsid w:val="001A3277"/>
    <w:rsid w:val="001E55B4"/>
    <w:rsid w:val="00211A53"/>
    <w:rsid w:val="00211D13"/>
    <w:rsid w:val="00212A3F"/>
    <w:rsid w:val="00215418"/>
    <w:rsid w:val="00234DAD"/>
    <w:rsid w:val="00246C6C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72F25"/>
    <w:rsid w:val="00487C6D"/>
    <w:rsid w:val="004964E4"/>
    <w:rsid w:val="004B2CAB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56416"/>
    <w:rsid w:val="0067267F"/>
    <w:rsid w:val="00696D8C"/>
    <w:rsid w:val="006A6EF5"/>
    <w:rsid w:val="006B5F90"/>
    <w:rsid w:val="006C789B"/>
    <w:rsid w:val="006D4E80"/>
    <w:rsid w:val="006F3DD3"/>
    <w:rsid w:val="00712AB2"/>
    <w:rsid w:val="007540A6"/>
    <w:rsid w:val="007775DC"/>
    <w:rsid w:val="00783920"/>
    <w:rsid w:val="007D7F81"/>
    <w:rsid w:val="007E5036"/>
    <w:rsid w:val="00814B02"/>
    <w:rsid w:val="00835C46"/>
    <w:rsid w:val="0087298C"/>
    <w:rsid w:val="00884BAD"/>
    <w:rsid w:val="00884D3D"/>
    <w:rsid w:val="008950F7"/>
    <w:rsid w:val="00897331"/>
    <w:rsid w:val="008C29EE"/>
    <w:rsid w:val="008C6D4C"/>
    <w:rsid w:val="008D0DE2"/>
    <w:rsid w:val="008E2AE1"/>
    <w:rsid w:val="008E6A98"/>
    <w:rsid w:val="0091353C"/>
    <w:rsid w:val="00922DA0"/>
    <w:rsid w:val="00930D66"/>
    <w:rsid w:val="00940100"/>
    <w:rsid w:val="009441DA"/>
    <w:rsid w:val="0095744B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AF541A"/>
    <w:rsid w:val="00B14666"/>
    <w:rsid w:val="00B1566F"/>
    <w:rsid w:val="00B205CD"/>
    <w:rsid w:val="00B32261"/>
    <w:rsid w:val="00B37745"/>
    <w:rsid w:val="00B543ED"/>
    <w:rsid w:val="00B63212"/>
    <w:rsid w:val="00B977E8"/>
    <w:rsid w:val="00BF5C62"/>
    <w:rsid w:val="00C01658"/>
    <w:rsid w:val="00C20283"/>
    <w:rsid w:val="00C21DA8"/>
    <w:rsid w:val="00C531AB"/>
    <w:rsid w:val="00C76B2E"/>
    <w:rsid w:val="00CA1B27"/>
    <w:rsid w:val="00CA1B28"/>
    <w:rsid w:val="00CA3592"/>
    <w:rsid w:val="00CB2BA1"/>
    <w:rsid w:val="00CD41EB"/>
    <w:rsid w:val="00CF78F8"/>
    <w:rsid w:val="00CF7D2E"/>
    <w:rsid w:val="00D13AA9"/>
    <w:rsid w:val="00D1472A"/>
    <w:rsid w:val="00D2425D"/>
    <w:rsid w:val="00D5265A"/>
    <w:rsid w:val="00D964F2"/>
    <w:rsid w:val="00DA5430"/>
    <w:rsid w:val="00DA6A6F"/>
    <w:rsid w:val="00DC0CB4"/>
    <w:rsid w:val="00DC19F1"/>
    <w:rsid w:val="00DE321E"/>
    <w:rsid w:val="00E122E4"/>
    <w:rsid w:val="00E14EDA"/>
    <w:rsid w:val="00E56595"/>
    <w:rsid w:val="00E85A32"/>
    <w:rsid w:val="00EA7205"/>
    <w:rsid w:val="00F47678"/>
    <w:rsid w:val="00F65AC4"/>
    <w:rsid w:val="00F828B2"/>
    <w:rsid w:val="00F92D5C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B2545-BFDD-4895-8354-9FF1D995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55</cp:revision>
  <cp:lastPrinted>2018-10-23T08:41:00Z</cp:lastPrinted>
  <dcterms:created xsi:type="dcterms:W3CDTF">2016-04-08T03:55:00Z</dcterms:created>
  <dcterms:modified xsi:type="dcterms:W3CDTF">2021-04-02T01:52:00Z</dcterms:modified>
</cp:coreProperties>
</file>